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36"/>
          <w:szCs w:val="32"/>
        </w:rPr>
      </w:pPr>
      <w:r>
        <w:rPr>
          <w:rFonts w:hint="eastAsia" w:ascii="方正小标宋简体" w:eastAsia="方正小标宋简体"/>
          <w:sz w:val="36"/>
          <w:szCs w:val="32"/>
        </w:rPr>
        <w:t>武昌区“扫黑除恶”应知应会知识测试题参考答案</w:t>
      </w:r>
    </w:p>
    <w:p>
      <w:pPr>
        <w:spacing w:line="580" w:lineRule="exact"/>
        <w:ind w:firstLine="560" w:firstLineChars="200"/>
        <w:rPr>
          <w:rFonts w:ascii="宋体" w:hAnsi="宋体" w:eastAsia="宋体"/>
          <w:sz w:val="28"/>
          <w:szCs w:val="28"/>
        </w:rPr>
      </w:pPr>
    </w:p>
    <w:p>
      <w:pPr>
        <w:spacing w:line="580" w:lineRule="exact"/>
        <w:ind w:firstLine="640" w:firstLineChars="200"/>
        <w:rPr>
          <w:rFonts w:hint="eastAsia" w:ascii="黑体" w:eastAsia="黑体"/>
          <w:sz w:val="32"/>
          <w:szCs w:val="32"/>
        </w:rPr>
      </w:pPr>
      <w:r>
        <w:rPr>
          <w:rFonts w:hint="eastAsia" w:ascii="黑体" w:eastAsia="黑体"/>
          <w:sz w:val="32"/>
          <w:szCs w:val="32"/>
        </w:rPr>
        <w:t>一、填空题</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1.武昌区扫黑除恶专项斗争的目标任务是：</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通过3年不懈努力，根本遏制黑恶势力违法犯罪；通过全面整治涉黑涉恶治安乱点，使全区重点行业、重点领域管理得到明显加强，人民群众安全感、满意度明显提升；深挖黑恶势力“保护伞”，优化加强基层组织建设环境；提升基层社会治理能力，健全涉黑涉恶违法犯罪防范打击长效机制，进一步提高扫黑除恶工作法治化、规范化、专业化水平，确保我区扫黑除恶专项斗争工作走在全市前列。</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2.扫黑除恶专项斗争的基本原则：</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坚持党的领导，发挥政治优势；</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坚持人民主体地位，紧紧依靠群众；</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坚持综合治理，齐抓共管；</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坚持依法严惩，打早打小；</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坚持标本兼治，源头治理。</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3.扫黑除恶专项斗争实施步骤：</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第一阶段（2018年）：迅速启动、深入推进阶段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第二阶段（2019年）：集中攻坚、彻底铲除黑恶势力赖以滋生的土壤阶段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第三阶段（2020年）：建立健全长效机制、取得压倒性胜利阶段</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4.全国扫黑除恶专项斗争督导内容：</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一是围绕政治站位，重点督导党委和政府贯彻落实习近平总书记有关重要指示和重要决策部署情况，贯彻落实扫黑除恶专项斗争的总体要求和实施步骤情况，专项斗争第一责任人、直接责任人切实履行扫黑除恶重大政治责任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二是围绕依法严惩，重点督导扫黑、除恶、治乱的成效，特别是发动群众情况，严守法律政策界限，严格依法办案，确保涉黑涉恶问题得到根本遏制情况。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三是围绕综合治理，重点督导各部门齐抓共管，相关监管部门对重点行业、重点领域加强日常监管，形成强大合力、整治突出问题情况。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四是围绕深挖彻查，重点督导把扫黑除恶与反腐败斗争和基层“拍蝇”结合起来，治理党员干部涉黑涉恶问题，深挖黑恶势力背后“保护伞”情况。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五是围绕组织建设，重点督导整顿软弱涣散基层党组织，严防黑恶势力侵蚀基层政权，为铲除黑恶势力滋生土壤提供坚强组织保证情况。</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六是围绕组织领导，重点督导各级扫黑除恶专项斗争领导小组及其办公室充分发挥职能作用，加大统筹力度，层层压实责任，推动解决经费保障、技术装备、专业队伍建设等重要问题情况。</w:t>
      </w:r>
    </w:p>
    <w:p>
      <w:pPr>
        <w:spacing w:line="580" w:lineRule="exact"/>
        <w:ind w:firstLine="640" w:firstLineChars="200"/>
        <w:rPr>
          <w:rFonts w:hint="eastAsia" w:ascii="黑体" w:eastAsia="黑体"/>
          <w:sz w:val="32"/>
          <w:szCs w:val="32"/>
        </w:rPr>
      </w:pPr>
      <w:r>
        <w:rPr>
          <w:rFonts w:hint="eastAsia" w:ascii="黑体" w:eastAsia="黑体"/>
          <w:sz w:val="32"/>
          <w:szCs w:val="32"/>
        </w:rPr>
        <w:t>二、问答题</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1.什么是黑恶势力“保护伞”？</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所谓黑恶势力“保护伞”，主要是指国家公职人员利用手中权力，参与涉黑涉恶违法犯罪，或包庇、纵容黑恶犯罪、有案不立、立案不查、查案不力，为黑恶势力违法犯罪提供便利条件，帮助黑恶势力逃避惩处等行为。国家公职人员充当黑恶势力“保护伞”的，将依纪依法追究党纪政务责任，涉嫌犯罪的，依法追究刑事责任。公民或者个人以黑恶势力“保护伞”的名义捏造事实，对办案人员进行污告、陷害、打击报复的，也要受到法律处罚。</w:t>
      </w:r>
    </w:p>
    <w:p>
      <w:pPr>
        <w:spacing w:line="580" w:lineRule="exact"/>
        <w:ind w:firstLine="640" w:firstLineChars="200"/>
        <w:rPr>
          <w:rFonts w:ascii="楷体_GB2312" w:hAnsi="宋体" w:eastAsia="楷体_GB2312"/>
          <w:sz w:val="32"/>
          <w:szCs w:val="28"/>
        </w:rPr>
      </w:pPr>
      <w:r>
        <w:rPr>
          <w:rFonts w:hint="eastAsia" w:ascii="楷体_GB2312" w:hAnsi="宋体" w:eastAsia="楷体_GB2312"/>
          <w:sz w:val="32"/>
          <w:szCs w:val="28"/>
        </w:rPr>
        <w:t>2.武昌区扫黑除恶专项斗争的打击重点包括哪些情形？</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（1）威胁政治安全特别是制度安全、政权安全以及向政治领域渗透的黑恶势力；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（2）把持基层政权、操纵破坏基层换届选举、侵吞集体资产的黑恶势力；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（3）利用家族、宗教势力横行乡里、称霸一方、欺压残害百姓的“村霸”等黑恶势力；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（4）在征地、租地、拆迁、工程项目建设等过程中煽动闹事的黑恶势力；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（5）在建筑工程，交通运输、矿产资源等行业、领域，强揽工程、恶意竞标、非法占地、滥开滥采的黑恶势力；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（6）在商贸集市、批发市场、车站码头、旅游景区等场所欺行霸市、强买强卖、收保护费的市霸、行霸等黑恶势力；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（7）操纵、经营“黄赌毒”等违法犯罪活动的黑恶势力；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（8）非法高利放贷、暴力讨债的黑恶势力；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（9）插手民间纠纷，充当“地下执法队”的黑恶势力；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（10）境外黑社会入境发展渗透以及跨国跨境的黑恶势力；</w:t>
      </w:r>
    </w:p>
    <w:p>
      <w:pPr>
        <w:spacing w:line="580" w:lineRule="exact"/>
        <w:ind w:firstLine="560" w:firstLineChars="200"/>
        <w:rPr>
          <w:rFonts w:ascii="宋体" w:hAnsi="宋体" w:eastAsia="宋体"/>
          <w:sz w:val="28"/>
          <w:szCs w:val="28"/>
        </w:rPr>
      </w:pPr>
      <w:r>
        <w:rPr>
          <w:rFonts w:hint="eastAsia" w:ascii="宋体" w:hAnsi="宋体" w:eastAsia="宋体"/>
          <w:sz w:val="28"/>
          <w:szCs w:val="28"/>
        </w:rPr>
        <w:t>（11）群体性事件和有组织聚众上访背后的黑恶势力。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FC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2018-07-30T00:37:43Z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